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FF" w:rsidRPr="004420FF" w:rsidRDefault="004420FF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4420FF">
        <w:rPr>
          <w:rFonts w:ascii="Calibri" w:eastAsia="Calibri" w:hAnsi="Calibri" w:cs="Arial"/>
          <w:sz w:val="18"/>
          <w:szCs w:val="18"/>
        </w:rPr>
        <w:t>Oznaczenie sprawy: ZOM/KP/2/ 18</w:t>
      </w:r>
      <w:r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22453F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22453F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3D786B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2018/S 033-071886 z dnia 16.02.2018</w:t>
            </w:r>
          </w:p>
        </w:tc>
      </w:tr>
      <w:tr w:rsidR="004420FF" w:rsidRPr="004420FF" w:rsidTr="0022453F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22453F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22453F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22453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Opróżnianie koszy na </w:t>
            </w: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terenie m.st.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ZOM/KP/2/18</w:t>
            </w:r>
          </w:p>
        </w:tc>
      </w:tr>
      <w:tr w:rsidR="004420FF" w:rsidRPr="004420FF" w:rsidTr="0022453F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22453F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22453F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22453F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22453F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22453F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22453F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22453F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22453F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22453F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22453F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22453F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22453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22453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22453F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2245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22453F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22453F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22453F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22453F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4420FF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22453F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22453F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22453F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22453F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22453F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22453F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22453F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22453F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22453F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22453F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  <w:bookmarkStart w:id="1" w:name="_GoBack"/>
            <w:bookmarkEnd w:id="1"/>
          </w:p>
        </w:tc>
      </w:tr>
      <w:tr w:rsidR="004420FF" w:rsidRPr="004420FF" w:rsidTr="0022453F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22453F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22453F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22453F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22453F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22453F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22453F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22453F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22453F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22453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22453F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22453F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22453F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22453F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22453F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22453F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22453F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22453F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22453F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22453F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22453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22453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22453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22453F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:rsidTr="0022453F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22453F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22453F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22453F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22453F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22453F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22453F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22453F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22453F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22453F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22453F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22453F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22453F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22453F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22453F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22453F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22453F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D838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57"/>
    <w:rsid w:val="000D613F"/>
    <w:rsid w:val="0018094B"/>
    <w:rsid w:val="00347311"/>
    <w:rsid w:val="003D786B"/>
    <w:rsid w:val="004420FF"/>
    <w:rsid w:val="008B5057"/>
    <w:rsid w:val="009A179B"/>
    <w:rsid w:val="00A06637"/>
    <w:rsid w:val="00AD1870"/>
    <w:rsid w:val="00BF10F7"/>
    <w:rsid w:val="00D83853"/>
    <w:rsid w:val="00D924CD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997B-CD1A-458F-9C49-5EB1F69A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6411</Words>
  <Characters>38471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14</cp:revision>
  <cp:lastPrinted>2018-02-16T08:46:00Z</cp:lastPrinted>
  <dcterms:created xsi:type="dcterms:W3CDTF">2017-08-29T12:25:00Z</dcterms:created>
  <dcterms:modified xsi:type="dcterms:W3CDTF">2018-02-16T08:47:00Z</dcterms:modified>
</cp:coreProperties>
</file>